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E2" w:rsidRPr="008461E1" w:rsidRDefault="00716995" w:rsidP="008461E1">
      <w:pPr>
        <w:spacing w:after="200" w:line="276" w:lineRule="auto"/>
        <w:jc w:val="center"/>
        <w:rPr>
          <w:rFonts w:ascii="Verdana" w:eastAsiaTheme="minorHAnsi" w:hAnsi="Verdana" w:cstheme="minorBidi"/>
          <w:b/>
          <w:color w:val="2B255C"/>
          <w:sz w:val="22"/>
          <w:szCs w:val="22"/>
          <w:lang w:val="fr-BE" w:eastAsia="en-US"/>
        </w:rPr>
      </w:pPr>
      <w:r>
        <w:rPr>
          <w:rFonts w:ascii="Verdana" w:eastAsiaTheme="minorHAnsi" w:hAnsi="Verdana" w:cstheme="minorBidi"/>
          <w:b/>
          <w:color w:val="2B255C"/>
          <w:sz w:val="22"/>
          <w:szCs w:val="22"/>
          <w:lang w:val="fr-BE" w:eastAsia="en-US"/>
        </w:rPr>
        <w:t xml:space="preserve"> </w:t>
      </w:r>
    </w:p>
    <w:p w:rsidR="00B84CE2" w:rsidRPr="008461E1" w:rsidRDefault="00B84CE2" w:rsidP="008461E1">
      <w:pPr>
        <w:spacing w:after="200" w:line="276" w:lineRule="auto"/>
        <w:jc w:val="center"/>
        <w:rPr>
          <w:rFonts w:ascii="Verdana" w:eastAsiaTheme="minorHAnsi" w:hAnsi="Verdana" w:cstheme="minorBidi"/>
          <w:b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lang w:val="fr-BE" w:eastAsia="en-US"/>
        </w:rPr>
        <w:t xml:space="preserve">Appel à candidatures pour l’engagement à titre temporaire dans un emploi temporairement vacant pour une durée de plus de 15 semaines dans une fonction de </w:t>
      </w:r>
      <w:r w:rsidR="002E40E7" w:rsidRPr="00716995">
        <w:rPr>
          <w:rFonts w:ascii="Verdana" w:eastAsiaTheme="minorHAnsi" w:hAnsi="Verdana" w:cstheme="minorBidi"/>
          <w:b/>
          <w:color w:val="2B255C"/>
          <w:sz w:val="22"/>
          <w:szCs w:val="22"/>
          <w:lang w:val="fr-BE" w:eastAsia="en-US"/>
        </w:rPr>
        <w:t>formateur</w:t>
      </w:r>
      <w:r w:rsidR="002E40E7">
        <w:rPr>
          <w:rFonts w:ascii="Verdana" w:eastAsiaTheme="minorHAnsi" w:hAnsi="Verdana" w:cstheme="minorBidi"/>
          <w:b/>
          <w:color w:val="2B255C"/>
          <w:sz w:val="22"/>
          <w:szCs w:val="22"/>
          <w:lang w:val="fr-BE" w:eastAsia="en-US"/>
        </w:rPr>
        <w:t xml:space="preserve"> </w:t>
      </w: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lang w:val="fr-BE" w:eastAsia="en-US"/>
        </w:rPr>
        <w:t>de centre de technologies avancées (ci-après : « CTA ») dans un établissement d’enseignement secondaire ordinaire de l’enseignement libre subventionné.</w:t>
      </w: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lang w:val="fr-BE" w:eastAsia="en-US"/>
        </w:rPr>
      </w:pP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b/>
          <w:sz w:val="22"/>
          <w:szCs w:val="22"/>
          <w:lang w:val="fr-BE" w:eastAsia="en-US"/>
        </w:rPr>
      </w:pPr>
    </w:p>
    <w:p w:rsidR="00B84CE2" w:rsidRPr="008461E1" w:rsidRDefault="00B84CE2" w:rsidP="008461E1">
      <w:pPr>
        <w:spacing w:after="200" w:line="276" w:lineRule="auto"/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</w:pP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Coordonnées du P.O. :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Asbl Collège Saint-Servais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Rue de la Pépinière, 101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5002 Saint-Servais</w:t>
      </w:r>
    </w:p>
    <w:p w:rsidR="008461E1" w:rsidRPr="00B84CE2" w:rsidRDefault="008461E1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8461E1" w:rsidRDefault="00B84CE2" w:rsidP="008461E1">
      <w:pPr>
        <w:spacing w:after="200" w:line="276" w:lineRule="auto"/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</w:pP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Coordonnées du CTA :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CTA Centre de technologies avancées en Sciences appliquées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Rue de la Pépinière, 101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5002 Saint-Servais</w:t>
      </w:r>
    </w:p>
    <w:p w:rsidR="008461E1" w:rsidRPr="00B84CE2" w:rsidRDefault="008461E1" w:rsidP="008461E1">
      <w:pPr>
        <w:spacing w:after="200" w:line="276" w:lineRule="auto"/>
        <w:rPr>
          <w:rFonts w:ascii="Garamond" w:eastAsia="Calibri" w:hAnsi="Garamond" w:cs="Arial"/>
          <w:b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Coordonnées de l’établissement :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Collège Saint-Servais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Rue de la Pépinière, 101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5002 Saint-Servais</w:t>
      </w: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8461E1" w:rsidRDefault="00B84CE2" w:rsidP="008461E1">
      <w:pPr>
        <w:spacing w:after="200" w:line="276" w:lineRule="auto"/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</w:pP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Domaine d’activité du CTA :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Le Collège Saint-Servais accueille dans ses infrastructures un Centre de technologies avancées en</w:t>
      </w:r>
      <w:r w:rsidR="00173274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 xml:space="preserve"> Sciences appliquées</w:t>
      </w: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, Génie chimique et biotechnologie. Ce centre a pour vocation de mettre de l’équipement de pointe à disposition des étudiants et des enseignants du secondaire, du supérieur, de la promotion sociale ainsi que des apprentis et formateurs de l’</w:t>
      </w:r>
      <w:proofErr w:type="spellStart"/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Ifapme</w:t>
      </w:r>
      <w:proofErr w:type="spellEnd"/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 xml:space="preserve"> ou</w:t>
      </w:r>
      <w:r w:rsidR="00173274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 xml:space="preserve"> encore des demandeurs d’emploi. </w:t>
      </w:r>
    </w:p>
    <w:p w:rsidR="008461E1" w:rsidRP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 xml:space="preserve">L’équipe du CTA est composée de 2 ½ temps Coordonnateurs et 2 ½ temps Formateur </w:t>
      </w:r>
    </w:p>
    <w:p w:rsidR="008461E1" w:rsidRDefault="008461E1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De</w:t>
      </w:r>
      <w:r w:rsidR="00173274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s</w:t>
      </w:r>
      <w:r w:rsidRPr="008461E1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 xml:space="preserve"> informations sont disponibles sur le site  </w:t>
      </w:r>
      <w:hyperlink r:id="rId7" w:history="1">
        <w:r w:rsidRPr="00EC4830">
          <w:rPr>
            <w:rStyle w:val="Lienhypertexte"/>
            <w:rFonts w:ascii="Verdana" w:eastAsiaTheme="minorHAnsi" w:hAnsi="Verdana" w:cstheme="minorBidi"/>
            <w:sz w:val="22"/>
            <w:szCs w:val="22"/>
            <w:lang w:val="fr-BE" w:eastAsia="en-US"/>
          </w:rPr>
          <w:t>http://cta.site.asty-moulin.be</w:t>
        </w:r>
      </w:hyperlink>
      <w:r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 xml:space="preserve"> </w:t>
      </w:r>
    </w:p>
    <w:p w:rsidR="00A575C7" w:rsidRPr="008461E1" w:rsidRDefault="00A575C7" w:rsidP="008461E1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8461E1" w:rsidRDefault="00B84CE2" w:rsidP="008461E1">
      <w:pPr>
        <w:spacing w:after="200" w:line="276" w:lineRule="auto"/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</w:pP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lastRenderedPageBreak/>
        <w:t>Entrée en fonction :</w:t>
      </w:r>
      <w:r w:rsidR="00A575C7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 xml:space="preserve"> </w:t>
      </w:r>
      <w:r w:rsidR="009E0A08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 xml:space="preserve"> </w:t>
      </w:r>
      <w:r w:rsidR="00173274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le lundi 25</w:t>
      </w:r>
      <w:r w:rsidR="00C053CC" w:rsidRPr="00C053CC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 xml:space="preserve"> aoû</w:t>
      </w:r>
      <w:r w:rsidR="009E0A08" w:rsidRPr="00C053CC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t</w:t>
      </w:r>
      <w:r w:rsidR="00173274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 xml:space="preserve"> 2025</w:t>
      </w: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9D0877" w:rsidRDefault="00B84CE2" w:rsidP="009D0877">
      <w:pPr>
        <w:spacing w:after="200" w:line="276" w:lineRule="auto"/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</w:pPr>
      <w:r w:rsidRPr="009E0A08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Nature de l’emploi :</w:t>
      </w:r>
      <w:r w:rsidRPr="009D0877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 xml:space="preserve">   </w:t>
      </w:r>
      <w:r w:rsidR="00B212AE" w:rsidRPr="00716995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temporairement vacant</w:t>
      </w:r>
    </w:p>
    <w:p w:rsidR="00B84CE2" w:rsidRPr="00B84CE2" w:rsidRDefault="00B84CE2" w:rsidP="008461E1">
      <w:pPr>
        <w:tabs>
          <w:tab w:val="left" w:pos="5000"/>
        </w:tabs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  <w:r w:rsidRPr="00B84CE2">
        <w:rPr>
          <w:rFonts w:ascii="Garamond" w:eastAsia="Calibri" w:hAnsi="Garamond" w:cs="Arial"/>
          <w:sz w:val="22"/>
          <w:szCs w:val="22"/>
          <w:lang w:val="fr-BE" w:eastAsia="en-US"/>
        </w:rPr>
        <w:tab/>
      </w: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Volume</w:t>
      </w:r>
      <w:r w:rsidR="008461E1"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 xml:space="preserve"> de l’emp</w:t>
      </w:r>
      <w:r w:rsidR="002E40E7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l</w:t>
      </w:r>
      <w:r w:rsidR="008461E1"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oi</w:t>
      </w:r>
      <w:r w:rsidRPr="008461E1">
        <w:rPr>
          <w:rFonts w:ascii="Verdana" w:eastAsiaTheme="minorHAnsi" w:hAnsi="Verdana" w:cstheme="minorBidi"/>
          <w:b/>
          <w:color w:val="2B255C"/>
          <w:sz w:val="22"/>
          <w:szCs w:val="22"/>
          <w:u w:val="single"/>
          <w:lang w:val="fr-BE" w:eastAsia="en-US"/>
        </w:rPr>
        <w:t> :</w:t>
      </w:r>
      <w:r w:rsidRPr="00B84CE2">
        <w:rPr>
          <w:rFonts w:ascii="Garamond" w:eastAsia="Calibri" w:hAnsi="Garamond" w:cs="Arial"/>
          <w:sz w:val="22"/>
          <w:szCs w:val="22"/>
          <w:lang w:val="fr-BE" w:eastAsia="en-US"/>
        </w:rPr>
        <w:t xml:space="preserve">   </w:t>
      </w:r>
      <w:r w:rsidR="008461E1" w:rsidRPr="009D0877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mi-temps</w:t>
      </w:r>
      <w:r w:rsidR="00B212AE">
        <w:rPr>
          <w:rFonts w:ascii="Verdana" w:eastAsiaTheme="minorHAnsi" w:hAnsi="Verdana" w:cstheme="minorBidi"/>
          <w:color w:val="2B255C"/>
          <w:sz w:val="22"/>
          <w:szCs w:val="22"/>
          <w:lang w:val="fr-BE" w:eastAsia="en-US"/>
        </w:rPr>
        <w:t>, 18 heures/ semaine</w:t>
      </w:r>
      <w:r w:rsidR="00B212AE">
        <w:rPr>
          <w:rFonts w:ascii="Garamond" w:eastAsia="Calibri" w:hAnsi="Garamond" w:cs="Arial"/>
          <w:sz w:val="22"/>
          <w:szCs w:val="22"/>
          <w:lang w:val="fr-BE" w:eastAsia="en-US"/>
        </w:rPr>
        <w:t xml:space="preserve"> </w:t>
      </w:r>
    </w:p>
    <w:p w:rsidR="00E40EBE" w:rsidRDefault="00E40EBE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9D0877" w:rsidRDefault="009D0877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9D0877" w:rsidRDefault="009D0877" w:rsidP="009D0877">
      <w:pPr>
        <w:rPr>
          <w:rFonts w:ascii="Verdana" w:hAnsi="Verdana"/>
          <w:b/>
          <w:color w:val="2B255C"/>
          <w:u w:val="single"/>
        </w:rPr>
      </w:pPr>
      <w:r>
        <w:rPr>
          <w:rFonts w:ascii="Verdana" w:hAnsi="Verdana"/>
          <w:b/>
          <w:color w:val="2B255C"/>
          <w:u w:val="single"/>
        </w:rPr>
        <w:t>Modalités de candidature</w:t>
      </w:r>
      <w:r w:rsidRPr="00BC2373">
        <w:rPr>
          <w:rFonts w:ascii="Verdana" w:hAnsi="Verdana"/>
          <w:b/>
          <w:color w:val="2B255C"/>
          <w:u w:val="single"/>
        </w:rPr>
        <w:t> :</w:t>
      </w:r>
    </w:p>
    <w:p w:rsidR="009D0877" w:rsidRPr="00BC2373" w:rsidDel="009B6841" w:rsidRDefault="009D0877" w:rsidP="009D0877">
      <w:pPr>
        <w:rPr>
          <w:rFonts w:ascii="Verdana" w:hAnsi="Verdana"/>
          <w:b/>
          <w:color w:val="2B255C"/>
          <w:u w:val="single"/>
        </w:rPr>
      </w:pPr>
    </w:p>
    <w:p w:rsidR="009D0877" w:rsidRDefault="009D0877" w:rsidP="009D0877">
      <w:pPr>
        <w:rPr>
          <w:rFonts w:ascii="Verdana" w:hAnsi="Verdana"/>
          <w:color w:val="2B255C"/>
        </w:rPr>
      </w:pPr>
      <w:r w:rsidRPr="00BC2373" w:rsidDel="009B6841">
        <w:rPr>
          <w:rFonts w:ascii="Verdana" w:hAnsi="Verdana"/>
          <w:color w:val="2B255C"/>
        </w:rPr>
        <w:t xml:space="preserve">Les </w:t>
      </w:r>
      <w:r w:rsidRPr="00BC2373">
        <w:rPr>
          <w:rFonts w:ascii="Verdana" w:hAnsi="Verdana"/>
          <w:color w:val="2B255C"/>
        </w:rPr>
        <w:t xml:space="preserve">dossiers de </w:t>
      </w:r>
      <w:r w:rsidRPr="00BC2373" w:rsidDel="009B6841">
        <w:rPr>
          <w:rFonts w:ascii="Verdana" w:hAnsi="Verdana"/>
          <w:color w:val="2B255C"/>
        </w:rPr>
        <w:t>candidature doivent être envoyés</w:t>
      </w:r>
      <w:r w:rsidRPr="00BC2373">
        <w:rPr>
          <w:rFonts w:ascii="Verdana" w:hAnsi="Verdana"/>
          <w:color w:val="2B255C"/>
        </w:rPr>
        <w:t xml:space="preserve">, au plus tard </w:t>
      </w:r>
      <w:r w:rsidRPr="00C053CC">
        <w:rPr>
          <w:rFonts w:ascii="Verdana" w:hAnsi="Verdana"/>
          <w:color w:val="2B255C"/>
        </w:rPr>
        <w:t xml:space="preserve">le </w:t>
      </w:r>
      <w:r w:rsidR="00173274">
        <w:rPr>
          <w:rFonts w:ascii="Verdana" w:hAnsi="Verdana"/>
          <w:color w:val="2B255C"/>
        </w:rPr>
        <w:t xml:space="preserve">vendredi 27 juin </w:t>
      </w:r>
      <w:r w:rsidRPr="00C053CC">
        <w:rPr>
          <w:rFonts w:ascii="Verdana" w:hAnsi="Verdana"/>
          <w:color w:val="2B255C"/>
        </w:rPr>
        <w:t>à 12h00</w:t>
      </w:r>
      <w:r w:rsidRPr="00BC2373">
        <w:rPr>
          <w:rFonts w:ascii="Verdana" w:hAnsi="Verdana"/>
          <w:color w:val="2B255C"/>
        </w:rPr>
        <w:t xml:space="preserve"> par envoi électronique avec accusé</w:t>
      </w:r>
      <w:r w:rsidR="00B212AE">
        <w:rPr>
          <w:rFonts w:ascii="Verdana" w:hAnsi="Verdana"/>
          <w:color w:val="2B255C"/>
        </w:rPr>
        <w:t xml:space="preserve"> de réception à l’attention de Pierre-Yves Vanvinckenroye, directeur du Collège Saint-Servais. </w:t>
      </w:r>
      <w:r w:rsidRPr="00BC2373">
        <w:rPr>
          <w:rFonts w:ascii="Verdana" w:hAnsi="Verdana"/>
          <w:color w:val="2B255C"/>
        </w:rPr>
        <w:t xml:space="preserve"> </w:t>
      </w:r>
    </w:p>
    <w:p w:rsidR="009E0A08" w:rsidRPr="00BC2373" w:rsidRDefault="009E0A08" w:rsidP="009D0877">
      <w:pPr>
        <w:rPr>
          <w:rFonts w:ascii="Verdana" w:hAnsi="Verdana"/>
          <w:color w:val="2B255C"/>
        </w:rPr>
      </w:pPr>
    </w:p>
    <w:p w:rsidR="009D0877" w:rsidRPr="0013733F" w:rsidRDefault="009D0877" w:rsidP="009D0877">
      <w:pPr>
        <w:rPr>
          <w:rFonts w:ascii="Verdana" w:hAnsi="Verdana"/>
          <w:color w:val="2B255C"/>
        </w:rPr>
      </w:pPr>
      <w:r w:rsidRPr="00BC2373">
        <w:rPr>
          <w:rFonts w:ascii="Verdana" w:hAnsi="Verdana"/>
          <w:color w:val="2B255C"/>
        </w:rPr>
        <w:t xml:space="preserve">Le dossier de candidature </w:t>
      </w:r>
      <w:r w:rsidRPr="0013733F">
        <w:rPr>
          <w:rFonts w:ascii="Verdana" w:hAnsi="Verdana"/>
          <w:color w:val="2B255C"/>
        </w:rPr>
        <w:t>comprendra un curriculum vitae précisant les conditions de titres et d’accès à la fonction remplies par le candidat</w:t>
      </w:r>
      <w:r>
        <w:rPr>
          <w:rFonts w:ascii="Verdana" w:hAnsi="Verdana"/>
          <w:color w:val="2B255C"/>
        </w:rPr>
        <w:t xml:space="preserve"> (voir annexes)</w:t>
      </w:r>
      <w:r w:rsidRPr="0013733F">
        <w:rPr>
          <w:rFonts w:ascii="Verdana" w:hAnsi="Verdana"/>
          <w:color w:val="2B255C"/>
        </w:rPr>
        <w:t xml:space="preserve">, notamment en matière de formations. </w:t>
      </w:r>
    </w:p>
    <w:p w:rsidR="009D0877" w:rsidRPr="0013733F" w:rsidRDefault="009D0877" w:rsidP="009D0877">
      <w:pPr>
        <w:rPr>
          <w:rFonts w:ascii="Verdana" w:hAnsi="Verdana"/>
          <w:color w:val="2B255C"/>
        </w:rPr>
      </w:pPr>
    </w:p>
    <w:p w:rsidR="009D0877" w:rsidRPr="00B212AE" w:rsidRDefault="009D0877" w:rsidP="00B212AE">
      <w:pPr>
        <w:rPr>
          <w:rFonts w:ascii="Verdana" w:hAnsi="Verdana"/>
          <w:color w:val="2B255C"/>
        </w:rPr>
      </w:pPr>
      <w:r w:rsidRPr="0013733F">
        <w:rPr>
          <w:rFonts w:ascii="Verdana" w:hAnsi="Verdana"/>
          <w:color w:val="2B255C"/>
        </w:rPr>
        <w:t>Il sera accompagné d’une note décrivant de manière</w:t>
      </w:r>
      <w:r w:rsidR="00B212AE">
        <w:rPr>
          <w:rFonts w:ascii="Verdana" w:hAnsi="Verdana"/>
          <w:color w:val="2B255C"/>
        </w:rPr>
        <w:t xml:space="preserve"> concise s</w:t>
      </w:r>
      <w:r w:rsidRPr="00B212AE">
        <w:rPr>
          <w:rFonts w:ascii="Verdana" w:hAnsi="Verdana"/>
          <w:color w:val="2B255C"/>
        </w:rPr>
        <w:t>a motivation à exercer une fonc</w:t>
      </w:r>
      <w:r w:rsidR="00B212AE">
        <w:rPr>
          <w:rFonts w:ascii="Verdana" w:hAnsi="Verdana"/>
          <w:color w:val="2B255C"/>
        </w:rPr>
        <w:t xml:space="preserve">tion de formateur CTA. </w:t>
      </w:r>
    </w:p>
    <w:p w:rsidR="009E0A08" w:rsidRDefault="009E0A08" w:rsidP="009E0A08">
      <w:pPr>
        <w:pStyle w:val="Paragraphedeliste"/>
        <w:ind w:left="2136"/>
        <w:rPr>
          <w:rFonts w:ascii="Verdana" w:hAnsi="Verdana"/>
          <w:color w:val="2B255C"/>
        </w:rPr>
      </w:pPr>
    </w:p>
    <w:p w:rsidR="009E0A08" w:rsidRPr="009E0A08" w:rsidRDefault="009E0A08" w:rsidP="009E0A08">
      <w:pPr>
        <w:rPr>
          <w:rFonts w:ascii="Verdana" w:hAnsi="Verdana"/>
          <w:color w:val="2B255C"/>
        </w:rPr>
      </w:pPr>
      <w:r w:rsidRPr="009E0A08">
        <w:rPr>
          <w:rFonts w:ascii="Verdana" w:hAnsi="Verdana"/>
          <w:color w:val="2B255C"/>
        </w:rPr>
        <w:t xml:space="preserve">Une première sélection pourra être faite sur base du seul dossier écrit. Les candidats retenus sur base de leur dossier seront rencontrés par une commission de sélection pour une audition </w:t>
      </w:r>
      <w:r w:rsidRPr="00C053CC">
        <w:rPr>
          <w:rFonts w:ascii="Verdana" w:hAnsi="Verdana"/>
          <w:color w:val="2B255C"/>
        </w:rPr>
        <w:t xml:space="preserve">à fixer la semaine du </w:t>
      </w:r>
      <w:r w:rsidR="00173274">
        <w:rPr>
          <w:rFonts w:ascii="Verdana" w:hAnsi="Verdana"/>
          <w:color w:val="2B255C"/>
        </w:rPr>
        <w:t>30 juin</w:t>
      </w:r>
      <w:r w:rsidR="00C053CC" w:rsidRPr="00C053CC">
        <w:rPr>
          <w:rFonts w:ascii="Verdana" w:hAnsi="Verdana"/>
          <w:color w:val="2B255C"/>
        </w:rPr>
        <w:t xml:space="preserve"> 202</w:t>
      </w:r>
      <w:r w:rsidR="00173274">
        <w:rPr>
          <w:rFonts w:ascii="Verdana" w:hAnsi="Verdana"/>
          <w:color w:val="2B255C"/>
        </w:rPr>
        <w:t>5</w:t>
      </w:r>
      <w:r w:rsidR="00C053CC" w:rsidRPr="00C053CC">
        <w:rPr>
          <w:rFonts w:ascii="Verdana" w:hAnsi="Verdana"/>
          <w:color w:val="2B255C"/>
        </w:rPr>
        <w:t>.</w:t>
      </w:r>
      <w:r w:rsidR="00C053CC">
        <w:rPr>
          <w:rFonts w:ascii="Verdana" w:hAnsi="Verdana"/>
          <w:color w:val="2B255C"/>
        </w:rPr>
        <w:t xml:space="preserve"> </w:t>
      </w:r>
    </w:p>
    <w:p w:rsidR="009D0877" w:rsidRPr="00BC2373" w:rsidRDefault="009D0877" w:rsidP="009D0877">
      <w:pPr>
        <w:rPr>
          <w:rFonts w:ascii="Verdana" w:hAnsi="Verdana"/>
          <w:color w:val="2B255C"/>
        </w:rPr>
      </w:pPr>
    </w:p>
    <w:p w:rsidR="009D0877" w:rsidRDefault="009D0877" w:rsidP="009D0877">
      <w:pPr>
        <w:rPr>
          <w:rFonts w:ascii="Verdana" w:hAnsi="Verdana"/>
          <w:b/>
          <w:color w:val="2B255C"/>
          <w:u w:val="single"/>
        </w:rPr>
      </w:pPr>
      <w:r w:rsidRPr="00BC2373" w:rsidDel="009B6841">
        <w:rPr>
          <w:rFonts w:ascii="Verdana" w:hAnsi="Verdana"/>
          <w:b/>
          <w:color w:val="2B255C"/>
          <w:u w:val="single"/>
        </w:rPr>
        <w:t xml:space="preserve">Coordonnées de la personne-contact auprès de laquelle </w:t>
      </w:r>
      <w:r w:rsidRPr="00BC2373">
        <w:rPr>
          <w:rFonts w:ascii="Verdana" w:hAnsi="Verdana"/>
          <w:b/>
          <w:color w:val="2B255C"/>
          <w:u w:val="single"/>
        </w:rPr>
        <w:t>des</w:t>
      </w:r>
      <w:r w:rsidRPr="00BC2373" w:rsidDel="009B6841">
        <w:rPr>
          <w:rFonts w:ascii="Verdana" w:hAnsi="Verdana"/>
          <w:b/>
          <w:color w:val="2B255C"/>
          <w:u w:val="single"/>
        </w:rPr>
        <w:t xml:space="preserve"> renseignements complémentaires peuvent être obtenus :</w:t>
      </w:r>
      <w:r w:rsidRPr="00BC2373">
        <w:rPr>
          <w:rFonts w:ascii="Verdana" w:hAnsi="Verdana"/>
          <w:b/>
          <w:color w:val="2B255C"/>
          <w:u w:val="single"/>
        </w:rPr>
        <w:t xml:space="preserve"> </w:t>
      </w:r>
    </w:p>
    <w:p w:rsidR="009D0877" w:rsidRPr="00BC2373" w:rsidRDefault="009D0877" w:rsidP="009D0877">
      <w:pPr>
        <w:rPr>
          <w:rFonts w:ascii="Verdana" w:hAnsi="Verdana"/>
          <w:b/>
          <w:color w:val="2B255C"/>
          <w:u w:val="single"/>
        </w:rPr>
      </w:pPr>
    </w:p>
    <w:p w:rsidR="00B84CE2" w:rsidRDefault="009D0877" w:rsidP="008461E1">
      <w:pPr>
        <w:tabs>
          <w:tab w:val="left" w:pos="1020"/>
        </w:tabs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  <w:r w:rsidRPr="00C053CC">
        <w:rPr>
          <w:rFonts w:ascii="Verdana" w:hAnsi="Verdana"/>
          <w:color w:val="2B255C"/>
        </w:rPr>
        <w:t xml:space="preserve">Pierre-Yves Vanvinckenroye, Directeur du Collège Saint-Servais : </w:t>
      </w:r>
      <w:hyperlink r:id="rId8" w:history="1">
        <w:r w:rsidRPr="00C053CC">
          <w:rPr>
            <w:rStyle w:val="Lienhypertexte"/>
            <w:rFonts w:ascii="Verdana" w:hAnsi="Verdana"/>
          </w:rPr>
          <w:t>pierre-yves.vanvinckenroye@site.asty-moulin.be</w:t>
        </w:r>
      </w:hyperlink>
      <w:r>
        <w:rPr>
          <w:rFonts w:ascii="Verdana" w:hAnsi="Verdana"/>
          <w:color w:val="2B255C"/>
        </w:rPr>
        <w:t xml:space="preserve"> </w:t>
      </w:r>
    </w:p>
    <w:p w:rsidR="009D0877" w:rsidRPr="00B84CE2" w:rsidRDefault="009D0877" w:rsidP="008461E1">
      <w:pPr>
        <w:tabs>
          <w:tab w:val="left" w:pos="1020"/>
        </w:tabs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Pr="00B84CE2" w:rsidRDefault="00B84CE2" w:rsidP="008461E1">
      <w:pPr>
        <w:spacing w:line="259" w:lineRule="auto"/>
        <w:rPr>
          <w:rFonts w:ascii="Garamond" w:eastAsia="Calibri" w:hAnsi="Garamond" w:cs="Arial"/>
          <w:b/>
          <w:sz w:val="22"/>
          <w:szCs w:val="22"/>
          <w:lang w:val="fr-BE" w:eastAsia="en-US"/>
        </w:rPr>
      </w:pPr>
      <w:r w:rsidRPr="00B84CE2">
        <w:rPr>
          <w:rFonts w:ascii="Garamond" w:eastAsia="Calibri" w:hAnsi="Garamond" w:cs="Arial"/>
          <w:b/>
          <w:sz w:val="22"/>
          <w:szCs w:val="22"/>
          <w:lang w:val="fr-BE" w:eastAsia="en-US"/>
        </w:rPr>
        <w:t>Liste des annexes :</w:t>
      </w:r>
    </w:p>
    <w:p w:rsidR="00247C99" w:rsidRDefault="00B84CE2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  <w:r w:rsidRPr="00B84CE2">
        <w:rPr>
          <w:rFonts w:ascii="Garamond" w:eastAsia="Calibri" w:hAnsi="Garamond" w:cs="Arial"/>
          <w:b/>
          <w:sz w:val="22"/>
          <w:szCs w:val="22"/>
          <w:lang w:val="fr-BE" w:eastAsia="en-US"/>
        </w:rPr>
        <w:t>Annexe 1. :</w:t>
      </w:r>
      <w:r w:rsidRPr="00B84CE2">
        <w:rPr>
          <w:rFonts w:ascii="Garamond" w:eastAsia="Calibri" w:hAnsi="Garamond" w:cs="Arial"/>
          <w:sz w:val="22"/>
          <w:szCs w:val="22"/>
          <w:lang w:val="fr-BE" w:eastAsia="en-US"/>
        </w:rPr>
        <w:t xml:space="preserve"> </w:t>
      </w:r>
      <w:r w:rsidR="00247C99">
        <w:rPr>
          <w:rFonts w:ascii="Garamond" w:eastAsia="Calibri" w:hAnsi="Garamond" w:cs="Arial"/>
          <w:sz w:val="22"/>
          <w:szCs w:val="22"/>
          <w:lang w:val="fr-BE" w:eastAsia="en-US"/>
        </w:rPr>
        <w:t xml:space="preserve">Descriptif des tâches </w:t>
      </w:r>
    </w:p>
    <w:p w:rsidR="00B84CE2" w:rsidRPr="00B84CE2" w:rsidRDefault="00247C99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  <w:r w:rsidRPr="00247C99">
        <w:rPr>
          <w:rFonts w:ascii="Garamond" w:eastAsia="Calibri" w:hAnsi="Garamond" w:cs="Arial"/>
          <w:b/>
          <w:sz w:val="22"/>
          <w:szCs w:val="22"/>
          <w:lang w:val="fr-BE" w:eastAsia="en-US"/>
        </w:rPr>
        <w:t>Annexe 2</w:t>
      </w:r>
      <w:r>
        <w:rPr>
          <w:rFonts w:ascii="Garamond" w:eastAsia="Calibri" w:hAnsi="Garamond" w:cs="Arial"/>
          <w:sz w:val="22"/>
          <w:szCs w:val="22"/>
          <w:lang w:val="fr-BE" w:eastAsia="en-US"/>
        </w:rPr>
        <w:t xml:space="preserve"> : Conditions d’accès à la fonction </w:t>
      </w:r>
    </w:p>
    <w:p w:rsidR="00B84CE2" w:rsidRDefault="00B84CE2" w:rsidP="008461E1">
      <w:pPr>
        <w:spacing w:line="259" w:lineRule="auto"/>
        <w:rPr>
          <w:rFonts w:ascii="Garamond" w:eastAsia="Calibri" w:hAnsi="Garamond" w:cs="Arial"/>
          <w:b/>
          <w:sz w:val="22"/>
          <w:szCs w:val="22"/>
          <w:lang w:val="fr-BE" w:eastAsia="en-US"/>
        </w:rPr>
      </w:pPr>
    </w:p>
    <w:p w:rsidR="00247C99" w:rsidRPr="00B84CE2" w:rsidRDefault="00247C99" w:rsidP="008461E1">
      <w:pPr>
        <w:spacing w:line="259" w:lineRule="auto"/>
        <w:rPr>
          <w:rFonts w:ascii="Garamond" w:eastAsia="Calibri" w:hAnsi="Garamond" w:cs="Arial"/>
          <w:sz w:val="22"/>
          <w:szCs w:val="22"/>
          <w:lang w:val="fr-BE" w:eastAsia="en-US"/>
        </w:rPr>
      </w:pPr>
    </w:p>
    <w:p w:rsidR="00B84CE2" w:rsidRDefault="00B84CE2" w:rsidP="008461E1">
      <w:pPr>
        <w:spacing w:line="259" w:lineRule="auto"/>
        <w:rPr>
          <w:rFonts w:ascii="Garamond" w:eastAsia="Calibri" w:hAnsi="Garamond" w:cs="Arial"/>
          <w:sz w:val="16"/>
          <w:szCs w:val="16"/>
          <w:lang w:val="fr-BE" w:eastAsia="en-US"/>
        </w:rPr>
      </w:pPr>
    </w:p>
    <w:p w:rsidR="00B84CE2" w:rsidRDefault="00B84CE2" w:rsidP="008461E1">
      <w:pPr>
        <w:spacing w:line="259" w:lineRule="auto"/>
        <w:rPr>
          <w:rFonts w:ascii="Garamond" w:eastAsia="Calibri" w:hAnsi="Garamond" w:cs="Arial"/>
          <w:sz w:val="16"/>
          <w:szCs w:val="16"/>
          <w:lang w:val="fr-BE" w:eastAsia="en-US"/>
        </w:rPr>
      </w:pPr>
    </w:p>
    <w:p w:rsidR="009D0877" w:rsidRDefault="009D0877" w:rsidP="00E9459F">
      <w:pPr>
        <w:spacing w:line="259" w:lineRule="auto"/>
        <w:rPr>
          <w:rFonts w:ascii="Garamond" w:eastAsia="Calibri" w:hAnsi="Garamond" w:cs="Arial"/>
          <w:b/>
          <w:caps/>
          <w:u w:val="single"/>
          <w:lang w:val="fr-BE" w:eastAsia="en-US"/>
        </w:rPr>
      </w:pPr>
    </w:p>
    <w:p w:rsidR="00B212AE" w:rsidRDefault="00B212AE" w:rsidP="00E9459F">
      <w:pPr>
        <w:spacing w:line="259" w:lineRule="auto"/>
        <w:rPr>
          <w:rFonts w:ascii="Garamond" w:eastAsia="Calibri" w:hAnsi="Garamond" w:cs="Arial"/>
          <w:b/>
          <w:caps/>
          <w:u w:val="single"/>
          <w:lang w:val="fr-BE" w:eastAsia="en-US"/>
        </w:rPr>
      </w:pPr>
    </w:p>
    <w:p w:rsidR="00B212AE" w:rsidRDefault="00B212AE" w:rsidP="00E9459F">
      <w:pPr>
        <w:spacing w:line="259" w:lineRule="auto"/>
        <w:rPr>
          <w:rFonts w:ascii="Garamond" w:eastAsia="Calibri" w:hAnsi="Garamond" w:cs="Arial"/>
          <w:b/>
          <w:caps/>
          <w:u w:val="single"/>
          <w:lang w:val="fr-BE" w:eastAsia="en-US"/>
        </w:rPr>
      </w:pPr>
    </w:p>
    <w:p w:rsidR="00B212AE" w:rsidRDefault="00B212AE" w:rsidP="00E9459F">
      <w:pPr>
        <w:spacing w:line="259" w:lineRule="auto"/>
        <w:rPr>
          <w:rFonts w:ascii="Garamond" w:eastAsia="Calibri" w:hAnsi="Garamond" w:cs="Arial"/>
          <w:b/>
          <w:caps/>
          <w:u w:val="single"/>
          <w:lang w:val="fr-BE" w:eastAsia="en-US"/>
        </w:rPr>
      </w:pPr>
    </w:p>
    <w:p w:rsidR="00B212AE" w:rsidRDefault="00B212AE" w:rsidP="00E9459F">
      <w:pPr>
        <w:spacing w:line="259" w:lineRule="auto"/>
        <w:rPr>
          <w:rFonts w:ascii="Garamond" w:eastAsia="Calibri" w:hAnsi="Garamond" w:cs="Arial"/>
          <w:b/>
          <w:caps/>
          <w:u w:val="single"/>
          <w:lang w:val="fr-BE" w:eastAsia="en-US"/>
        </w:rPr>
      </w:pPr>
    </w:p>
    <w:p w:rsidR="009D0877" w:rsidRDefault="009D0877" w:rsidP="008461E1">
      <w:pPr>
        <w:spacing w:line="259" w:lineRule="auto"/>
        <w:jc w:val="center"/>
        <w:rPr>
          <w:rFonts w:ascii="Garamond" w:eastAsia="Calibri" w:hAnsi="Garamond" w:cs="Arial"/>
          <w:b/>
          <w:caps/>
          <w:u w:val="single"/>
          <w:lang w:val="fr-BE" w:eastAsia="en-US"/>
        </w:rPr>
      </w:pPr>
    </w:p>
    <w:p w:rsidR="00B84CE2" w:rsidRPr="00951242" w:rsidRDefault="00B84CE2" w:rsidP="008461E1">
      <w:pPr>
        <w:spacing w:line="259" w:lineRule="auto"/>
        <w:jc w:val="center"/>
        <w:rPr>
          <w:rFonts w:ascii="Verdana" w:eastAsia="Calibri" w:hAnsi="Verdana" w:cstheme="minorHAnsi"/>
          <w:b/>
          <w:color w:val="2B255C"/>
          <w:u w:val="single"/>
          <w:lang w:val="fr-BE" w:eastAsia="en-US"/>
        </w:rPr>
      </w:pPr>
      <w:r w:rsidRPr="00951242">
        <w:rPr>
          <w:rFonts w:ascii="Verdana" w:eastAsia="Calibri" w:hAnsi="Verdana" w:cstheme="minorHAnsi"/>
          <w:b/>
          <w:caps/>
          <w:color w:val="2B255C"/>
          <w:u w:val="single"/>
          <w:lang w:val="fr-BE" w:eastAsia="en-US"/>
        </w:rPr>
        <w:lastRenderedPageBreak/>
        <w:t>Annexe 1</w:t>
      </w:r>
    </w:p>
    <w:p w:rsidR="00DE7504" w:rsidRPr="00951242" w:rsidRDefault="00DE7504" w:rsidP="00DE7504">
      <w:pPr>
        <w:spacing w:line="259" w:lineRule="auto"/>
        <w:rPr>
          <w:rFonts w:ascii="Verdana" w:eastAsia="Calibri" w:hAnsi="Verdana" w:cstheme="minorHAnsi"/>
          <w:b/>
          <w:color w:val="2B255C"/>
          <w:u w:val="single"/>
          <w:lang w:val="fr-BE" w:eastAsia="en-US"/>
        </w:rPr>
      </w:pPr>
    </w:p>
    <w:p w:rsidR="00DE7504" w:rsidRPr="00951242" w:rsidRDefault="00951242" w:rsidP="00DE7504">
      <w:pPr>
        <w:spacing w:line="259" w:lineRule="auto"/>
        <w:rPr>
          <w:rFonts w:ascii="Verdana" w:hAnsi="Verdana" w:cstheme="minorHAnsi"/>
          <w:u w:val="single"/>
        </w:rPr>
      </w:pPr>
      <w:r>
        <w:rPr>
          <w:rFonts w:ascii="Verdana" w:hAnsi="Verdana" w:cstheme="minorHAnsi"/>
          <w:u w:val="single"/>
        </w:rPr>
        <w:t>DESCRIPTIF DES TÂ</w:t>
      </w:r>
      <w:r w:rsidR="00DE7504" w:rsidRPr="00951242">
        <w:rPr>
          <w:rFonts w:ascii="Verdana" w:hAnsi="Verdana" w:cstheme="minorHAnsi"/>
          <w:u w:val="single"/>
        </w:rPr>
        <w:t xml:space="preserve">CHES : </w:t>
      </w:r>
    </w:p>
    <w:p w:rsidR="00247C99" w:rsidRPr="00951242" w:rsidRDefault="00247C99" w:rsidP="00DE7504">
      <w:pPr>
        <w:spacing w:line="259" w:lineRule="auto"/>
        <w:rPr>
          <w:rFonts w:ascii="Verdana" w:hAnsi="Verdana" w:cstheme="minorHAnsi"/>
          <w:u w:val="single"/>
        </w:rPr>
      </w:pPr>
    </w:p>
    <w:p w:rsidR="00DE7504" w:rsidRPr="00951242" w:rsidRDefault="00173274" w:rsidP="00DE7504">
      <w:pPr>
        <w:spacing w:line="259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Sous l’autorité des</w:t>
      </w:r>
      <w:r w:rsidR="00DE7504" w:rsidRPr="00951242">
        <w:rPr>
          <w:rFonts w:ascii="Verdana" w:hAnsi="Verdana" w:cstheme="minorHAnsi"/>
        </w:rPr>
        <w:t xml:space="preserve"> coordonnateur</w:t>
      </w:r>
      <w:r>
        <w:rPr>
          <w:rFonts w:ascii="Verdana" w:hAnsi="Verdana" w:cstheme="minorHAnsi"/>
        </w:rPr>
        <w:t>s</w:t>
      </w:r>
      <w:r w:rsidR="00DE7504" w:rsidRPr="00951242">
        <w:rPr>
          <w:rFonts w:ascii="Verdana" w:hAnsi="Verdana" w:cstheme="minorHAnsi"/>
        </w:rPr>
        <w:t xml:space="preserve"> et de la présidence du CTA, les missions du formateur CTA comprennent, de manière non exhaustive, les tâches suivantes : </w:t>
      </w:r>
    </w:p>
    <w:p w:rsidR="00247C99" w:rsidRPr="00951242" w:rsidRDefault="00247C99" w:rsidP="00DE7504">
      <w:pPr>
        <w:spacing w:line="259" w:lineRule="auto"/>
        <w:rPr>
          <w:rFonts w:ascii="Verdana" w:hAnsi="Verdana" w:cstheme="minorHAnsi"/>
        </w:rPr>
      </w:pPr>
    </w:p>
    <w:p w:rsidR="00DE7504" w:rsidRPr="00951242" w:rsidRDefault="00DE7504" w:rsidP="00DE7504">
      <w:pPr>
        <w:spacing w:line="259" w:lineRule="auto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Se former :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se</w:t>
      </w:r>
      <w:proofErr w:type="gramEnd"/>
      <w:r w:rsidRPr="00951242">
        <w:rPr>
          <w:rFonts w:ascii="Verdana" w:hAnsi="Verdana" w:cstheme="minorHAnsi"/>
        </w:rPr>
        <w:t xml:space="preserve"> familiariser ou se former à l’utilisation du matériel du CTA ;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suivre</w:t>
      </w:r>
      <w:proofErr w:type="gramEnd"/>
      <w:r w:rsidRPr="00951242">
        <w:rPr>
          <w:rFonts w:ascii="Verdana" w:hAnsi="Verdana" w:cstheme="minorHAnsi"/>
        </w:rPr>
        <w:t xml:space="preserve"> la formation des formateurs organisée par l’IFC.</w:t>
      </w:r>
    </w:p>
    <w:p w:rsidR="00DE7504" w:rsidRPr="00951242" w:rsidRDefault="00DE7504" w:rsidP="00DE7504">
      <w:pPr>
        <w:spacing w:line="259" w:lineRule="auto"/>
        <w:rPr>
          <w:rFonts w:ascii="Verdana" w:hAnsi="Verdana" w:cstheme="minorHAnsi"/>
        </w:rPr>
      </w:pPr>
    </w:p>
    <w:p w:rsidR="00DE7504" w:rsidRPr="00951242" w:rsidRDefault="00DE7504" w:rsidP="00DE7504">
      <w:pPr>
        <w:spacing w:line="259" w:lineRule="auto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S’informer concernant :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les</w:t>
      </w:r>
      <w:proofErr w:type="gramEnd"/>
      <w:r w:rsidRPr="00951242">
        <w:rPr>
          <w:rFonts w:ascii="Verdana" w:hAnsi="Verdana" w:cstheme="minorHAnsi"/>
        </w:rPr>
        <w:t xml:space="preserve"> profils et programmes concernés ;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les</w:t>
      </w:r>
      <w:proofErr w:type="gramEnd"/>
      <w:r w:rsidRPr="00951242">
        <w:rPr>
          <w:rFonts w:ascii="Verdana" w:hAnsi="Verdana" w:cstheme="minorHAnsi"/>
        </w:rPr>
        <w:t xml:space="preserve"> supports existants ;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les</w:t>
      </w:r>
      <w:proofErr w:type="gramEnd"/>
      <w:r w:rsidRPr="00951242">
        <w:rPr>
          <w:rFonts w:ascii="Verdana" w:hAnsi="Verdana" w:cstheme="minorHAnsi"/>
        </w:rPr>
        <w:t xml:space="preserve"> modules existants. </w:t>
      </w:r>
    </w:p>
    <w:p w:rsidR="00DE7504" w:rsidRPr="00951242" w:rsidRDefault="00DE7504" w:rsidP="00DE7504">
      <w:pPr>
        <w:spacing w:line="259" w:lineRule="auto"/>
        <w:rPr>
          <w:rFonts w:ascii="Verdana" w:hAnsi="Verdana" w:cstheme="minorHAnsi"/>
        </w:rPr>
      </w:pPr>
    </w:p>
    <w:p w:rsidR="00DE7504" w:rsidRPr="00951242" w:rsidRDefault="00DE7504" w:rsidP="00DE7504">
      <w:pPr>
        <w:spacing w:line="259" w:lineRule="auto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Préparer l’offre de formation :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identifier</w:t>
      </w:r>
      <w:proofErr w:type="gramEnd"/>
      <w:r w:rsidRPr="00951242">
        <w:rPr>
          <w:rFonts w:ascii="Verdana" w:hAnsi="Verdana" w:cstheme="minorHAnsi"/>
        </w:rPr>
        <w:t xml:space="preserve"> les modules de formation à proposer par le CTA ;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lister</w:t>
      </w:r>
      <w:proofErr w:type="gramEnd"/>
      <w:r w:rsidRPr="00951242">
        <w:rPr>
          <w:rFonts w:ascii="Verdana" w:hAnsi="Verdana" w:cstheme="minorHAnsi"/>
        </w:rPr>
        <w:t xml:space="preserve"> les possibilités de formation ; </w:t>
      </w:r>
    </w:p>
    <w:p w:rsidR="00DE7504" w:rsidRPr="00951242" w:rsidRDefault="00DE7504" w:rsidP="00247C99">
      <w:pPr>
        <w:pStyle w:val="Paragraphedeliste"/>
        <w:numPr>
          <w:ilvl w:val="0"/>
          <w:numId w:val="10"/>
        </w:numPr>
        <w:spacing w:line="259" w:lineRule="auto"/>
        <w:rPr>
          <w:rFonts w:ascii="Verdana" w:hAnsi="Verdana" w:cstheme="minorHAnsi"/>
        </w:rPr>
      </w:pPr>
      <w:proofErr w:type="gramStart"/>
      <w:r w:rsidRPr="00951242">
        <w:rPr>
          <w:rFonts w:ascii="Verdana" w:hAnsi="Verdana" w:cstheme="minorHAnsi"/>
        </w:rPr>
        <w:t>rédiger</w:t>
      </w:r>
      <w:proofErr w:type="gramEnd"/>
      <w:r w:rsidRPr="00951242">
        <w:rPr>
          <w:rFonts w:ascii="Verdana" w:hAnsi="Verdana" w:cstheme="minorHAnsi"/>
        </w:rPr>
        <w:t xml:space="preserve"> des fiches descriptives des modules proposés. </w:t>
      </w:r>
    </w:p>
    <w:p w:rsidR="00DE7504" w:rsidRPr="00951242" w:rsidRDefault="00DE7504" w:rsidP="00DE7504">
      <w:pPr>
        <w:spacing w:line="259" w:lineRule="auto"/>
        <w:rPr>
          <w:rFonts w:ascii="Verdana" w:hAnsi="Verdana" w:cstheme="minorHAnsi"/>
        </w:rPr>
      </w:pPr>
    </w:p>
    <w:p w:rsidR="00951242" w:rsidRDefault="00DE7504" w:rsidP="00DE7504">
      <w:pPr>
        <w:spacing w:line="259" w:lineRule="auto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Préparer les supports de formation à destination des différents publics-cibles du CTA : </w:t>
      </w:r>
    </w:p>
    <w:p w:rsidR="00247C99" w:rsidRPr="00951242" w:rsidRDefault="00951242" w:rsidP="00951242">
      <w:pPr>
        <w:spacing w:line="259" w:lineRule="auto"/>
        <w:ind w:left="708"/>
        <w:rPr>
          <w:rFonts w:ascii="Verdana" w:hAnsi="Verdana" w:cstheme="minorHAnsi"/>
        </w:rPr>
      </w:pPr>
      <w:r>
        <w:rPr>
          <w:rFonts w:ascii="Verdana" w:hAnsi="Verdana" w:cstheme="minorHAnsi"/>
        </w:rPr>
        <w:t>- f</w:t>
      </w:r>
      <w:r w:rsidR="00DE7504" w:rsidRPr="00951242">
        <w:rPr>
          <w:rFonts w:ascii="Verdana" w:hAnsi="Verdana" w:cstheme="minorHAnsi"/>
        </w:rPr>
        <w:t xml:space="preserve">ormer </w:t>
      </w:r>
    </w:p>
    <w:p w:rsidR="00247C99" w:rsidRPr="00951242" w:rsidRDefault="00DE7504" w:rsidP="00951242">
      <w:pPr>
        <w:spacing w:line="259" w:lineRule="auto"/>
        <w:ind w:left="708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- préparer le matériel, les consommables, les équipements et les locaux avant la formation </w:t>
      </w:r>
    </w:p>
    <w:p w:rsidR="00247C99" w:rsidRPr="00951242" w:rsidRDefault="00DE7504" w:rsidP="00951242">
      <w:pPr>
        <w:spacing w:line="259" w:lineRule="auto"/>
        <w:ind w:left="708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- former les futurs utilisateurs du CTA </w:t>
      </w:r>
    </w:p>
    <w:p w:rsidR="00247C99" w:rsidRPr="00951242" w:rsidRDefault="00DE7504" w:rsidP="00951242">
      <w:pPr>
        <w:spacing w:line="259" w:lineRule="auto"/>
        <w:ind w:left="708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- superviser et/ou </w:t>
      </w:r>
      <w:proofErr w:type="spellStart"/>
      <w:r w:rsidRPr="00951242">
        <w:rPr>
          <w:rFonts w:ascii="Verdana" w:hAnsi="Verdana" w:cstheme="minorHAnsi"/>
        </w:rPr>
        <w:t>co</w:t>
      </w:r>
      <w:proofErr w:type="spellEnd"/>
      <w:r w:rsidRPr="00951242">
        <w:rPr>
          <w:rFonts w:ascii="Verdana" w:hAnsi="Verdana" w:cstheme="minorHAnsi"/>
        </w:rPr>
        <w:t xml:space="preserve">-animer des rencontres prof/élèves, les utilisateurs du CTA </w:t>
      </w:r>
    </w:p>
    <w:p w:rsidR="00247C99" w:rsidRPr="00951242" w:rsidRDefault="00DE7504" w:rsidP="00951242">
      <w:pPr>
        <w:spacing w:line="259" w:lineRule="auto"/>
        <w:ind w:left="708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- assurer la remise en ordre du matériel après la formation </w:t>
      </w:r>
    </w:p>
    <w:p w:rsidR="00247C99" w:rsidRPr="00951242" w:rsidRDefault="00247C99" w:rsidP="00DE7504">
      <w:pPr>
        <w:spacing w:line="259" w:lineRule="auto"/>
        <w:rPr>
          <w:rFonts w:ascii="Verdana" w:hAnsi="Verdana" w:cstheme="minorHAnsi"/>
        </w:rPr>
      </w:pPr>
    </w:p>
    <w:p w:rsidR="00DE65FD" w:rsidRPr="00951242" w:rsidRDefault="00DE65FD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Pr="00951242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BA1958" w:rsidRDefault="00BA1958" w:rsidP="008461E1">
      <w:pPr>
        <w:rPr>
          <w:rFonts w:ascii="Verdana" w:hAnsi="Verdana" w:cstheme="minorHAnsi"/>
          <w:u w:val="single"/>
          <w:lang w:val="fr-BE"/>
        </w:rPr>
      </w:pPr>
    </w:p>
    <w:p w:rsidR="00951242" w:rsidRPr="00951242" w:rsidRDefault="00951242" w:rsidP="008461E1">
      <w:pPr>
        <w:rPr>
          <w:rFonts w:ascii="Verdana" w:hAnsi="Verdana" w:cstheme="minorHAnsi"/>
          <w:u w:val="single"/>
          <w:lang w:val="fr-BE"/>
        </w:rPr>
      </w:pPr>
    </w:p>
    <w:p w:rsidR="00247C99" w:rsidRPr="00951242" w:rsidRDefault="00247C99" w:rsidP="00247C99">
      <w:pPr>
        <w:spacing w:line="259" w:lineRule="auto"/>
        <w:jc w:val="center"/>
        <w:rPr>
          <w:rFonts w:ascii="Verdana" w:eastAsia="Calibri" w:hAnsi="Verdana" w:cstheme="minorHAnsi"/>
          <w:b/>
          <w:color w:val="2B255C"/>
          <w:u w:val="single"/>
          <w:lang w:val="fr-BE" w:eastAsia="en-US"/>
        </w:rPr>
      </w:pPr>
      <w:r w:rsidRPr="00951242">
        <w:rPr>
          <w:rFonts w:ascii="Verdana" w:eastAsia="Calibri" w:hAnsi="Verdana" w:cstheme="minorHAnsi"/>
          <w:b/>
          <w:caps/>
          <w:color w:val="2B255C"/>
          <w:u w:val="single"/>
          <w:lang w:val="fr-BE" w:eastAsia="en-US"/>
        </w:rPr>
        <w:t>Annexe 2</w:t>
      </w:r>
      <w:r w:rsidRPr="00951242">
        <w:rPr>
          <w:rFonts w:ascii="Verdana" w:eastAsia="Calibri" w:hAnsi="Verdana" w:cstheme="minorHAnsi"/>
          <w:b/>
          <w:color w:val="2B255C"/>
          <w:u w:val="single"/>
          <w:lang w:val="fr-BE" w:eastAsia="en-US"/>
        </w:rPr>
        <w:t xml:space="preserve"> </w:t>
      </w:r>
    </w:p>
    <w:p w:rsidR="00247C99" w:rsidRPr="00951242" w:rsidRDefault="00247C99" w:rsidP="008461E1">
      <w:pPr>
        <w:rPr>
          <w:rFonts w:ascii="Verdana" w:hAnsi="Verdana" w:cstheme="minorHAnsi"/>
          <w:u w:val="single"/>
          <w:lang w:val="fr-BE"/>
        </w:rPr>
      </w:pPr>
    </w:p>
    <w:p w:rsidR="00247C99" w:rsidRPr="00951242" w:rsidRDefault="00247C99" w:rsidP="008461E1">
      <w:pPr>
        <w:rPr>
          <w:rFonts w:ascii="Verdana" w:hAnsi="Verdana" w:cstheme="minorHAnsi"/>
          <w:u w:val="single"/>
        </w:rPr>
      </w:pPr>
      <w:r w:rsidRPr="00951242">
        <w:rPr>
          <w:rFonts w:ascii="Verdana" w:hAnsi="Verdana" w:cstheme="minorHAnsi"/>
          <w:u w:val="single"/>
        </w:rPr>
        <w:t xml:space="preserve">CONDITIONS D’ACCÈS : </w:t>
      </w:r>
    </w:p>
    <w:p w:rsidR="00247C99" w:rsidRPr="00951242" w:rsidRDefault="00247C99" w:rsidP="008461E1">
      <w:pPr>
        <w:rPr>
          <w:rFonts w:ascii="Verdana" w:hAnsi="Verdana" w:cstheme="minorHAnsi"/>
        </w:rPr>
      </w:pPr>
    </w:p>
    <w:p w:rsidR="00247C99" w:rsidRPr="00951242" w:rsidRDefault="00247C99" w:rsidP="008461E1">
      <w:pPr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>Le/la candidat(e) est un(e) enseignant(e) de l’enseignement secondaire nommé(e) qui, avec l’accord de son Pouvoir organisateur, béné</w:t>
      </w:r>
      <w:r w:rsidR="00716995">
        <w:rPr>
          <w:rFonts w:ascii="Verdana" w:hAnsi="Verdana" w:cstheme="minorHAnsi"/>
        </w:rPr>
        <w:t xml:space="preserve">ficiera d’un congé pour mission. </w:t>
      </w:r>
      <w:r w:rsidRPr="00951242">
        <w:rPr>
          <w:rFonts w:ascii="Verdana" w:hAnsi="Verdana" w:cstheme="minorHAnsi"/>
        </w:rPr>
        <w:t xml:space="preserve"> </w:t>
      </w:r>
    </w:p>
    <w:p w:rsidR="00247C99" w:rsidRPr="00951242" w:rsidRDefault="00247C99" w:rsidP="008461E1">
      <w:pPr>
        <w:rPr>
          <w:rFonts w:ascii="Verdana" w:hAnsi="Verdana"/>
        </w:rPr>
      </w:pPr>
    </w:p>
    <w:p w:rsidR="00BA1958" w:rsidRPr="00951242" w:rsidRDefault="00BA1958" w:rsidP="00BA1958">
      <w:pPr>
        <w:spacing w:line="360" w:lineRule="auto"/>
        <w:rPr>
          <w:rFonts w:ascii="Verdana" w:hAnsi="Verdana" w:cstheme="minorHAnsi"/>
        </w:rPr>
      </w:pPr>
      <w:r w:rsidRPr="00951242">
        <w:rPr>
          <w:rFonts w:ascii="Verdana" w:hAnsi="Verdana" w:cstheme="minorHAnsi"/>
        </w:rPr>
        <w:t xml:space="preserve">Le/la candidat(e) doit : </w:t>
      </w:r>
    </w:p>
    <w:p w:rsidR="00BA1958" w:rsidRPr="00716995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être</w:t>
      </w:r>
      <w:proofErr w:type="gramEnd"/>
      <w:r w:rsidRPr="00951242">
        <w:rPr>
          <w:rFonts w:ascii="Verdana" w:hAnsi="Verdana" w:cstheme="minorHAnsi"/>
        </w:rPr>
        <w:t xml:space="preserve"> porteur d'un titre pédagogique reconnu, </w:t>
      </w:r>
    </w:p>
    <w:p w:rsidR="00716995" w:rsidRPr="00951242" w:rsidRDefault="00716995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>
        <w:rPr>
          <w:rFonts w:ascii="Verdana" w:hAnsi="Verdana" w:cstheme="minorHAnsi"/>
        </w:rPr>
        <w:t>être</w:t>
      </w:r>
      <w:proofErr w:type="gramEnd"/>
      <w:r>
        <w:rPr>
          <w:rFonts w:ascii="Verdana" w:hAnsi="Verdana" w:cstheme="minorHAnsi"/>
        </w:rPr>
        <w:t xml:space="preserve"> nommé(e) au minimum pour un mi-temps, </w:t>
      </w:r>
    </w:p>
    <w:p w:rsidR="00BA1958" w:rsidRPr="00951242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être</w:t>
      </w:r>
      <w:proofErr w:type="gramEnd"/>
      <w:r w:rsidRPr="00951242">
        <w:rPr>
          <w:rFonts w:ascii="Verdana" w:hAnsi="Verdana" w:cstheme="minorHAnsi"/>
        </w:rPr>
        <w:t xml:space="preserve"> porteur d’un Master scientifique, de préférence en sciences chimiques. </w:t>
      </w:r>
    </w:p>
    <w:p w:rsidR="00BA1958" w:rsidRPr="00951242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détenir</w:t>
      </w:r>
      <w:proofErr w:type="gramEnd"/>
      <w:r w:rsidRPr="00951242">
        <w:rPr>
          <w:rFonts w:ascii="Verdana" w:hAnsi="Verdana" w:cstheme="minorHAnsi"/>
        </w:rPr>
        <w:t xml:space="preserve"> une expérience, des qualifications et des compétences dans le domaine des </w:t>
      </w:r>
      <w:r w:rsidRPr="00951242">
        <w:rPr>
          <w:rFonts w:ascii="Verdana" w:eastAsiaTheme="minorHAnsi" w:hAnsi="Verdana" w:cstheme="minorHAnsi"/>
          <w:lang w:val="fr-BE" w:eastAsia="en-US"/>
        </w:rPr>
        <w:t xml:space="preserve">Sciences appliquées et plus spécifiquement en </w:t>
      </w:r>
      <w:r w:rsidR="00173274">
        <w:rPr>
          <w:rFonts w:ascii="Verdana" w:eastAsiaTheme="minorHAnsi" w:hAnsi="Verdana" w:cstheme="minorHAnsi"/>
          <w:lang w:val="fr-BE" w:eastAsia="en-US"/>
        </w:rPr>
        <w:t>g</w:t>
      </w:r>
      <w:r w:rsidRPr="00951242">
        <w:rPr>
          <w:rFonts w:ascii="Verdana" w:eastAsiaTheme="minorHAnsi" w:hAnsi="Verdana" w:cstheme="minorHAnsi"/>
          <w:lang w:val="fr-BE" w:eastAsia="en-US"/>
        </w:rPr>
        <w:t>énie chimique</w:t>
      </w:r>
      <w:r w:rsidRPr="00951242">
        <w:rPr>
          <w:rFonts w:ascii="Verdana" w:hAnsi="Verdana" w:cstheme="minorHAnsi"/>
        </w:rPr>
        <w:t xml:space="preserve">. </w:t>
      </w:r>
    </w:p>
    <w:p w:rsidR="00BA1958" w:rsidRPr="00951242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disposer</w:t>
      </w:r>
      <w:proofErr w:type="gramEnd"/>
      <w:r w:rsidRPr="00951242">
        <w:rPr>
          <w:rFonts w:ascii="Verdana" w:hAnsi="Verdana" w:cstheme="minorHAnsi"/>
        </w:rPr>
        <w:t xml:space="preserve"> de connaissances de base des outils et app</w:t>
      </w:r>
      <w:r w:rsidR="00173274">
        <w:rPr>
          <w:rFonts w:ascii="Verdana" w:hAnsi="Verdana" w:cstheme="minorHAnsi"/>
        </w:rPr>
        <w:t>lications bureautiques courants</w:t>
      </w:r>
      <w:r w:rsidRPr="00951242">
        <w:rPr>
          <w:rFonts w:ascii="Verdana" w:hAnsi="Verdana" w:cstheme="minorHAnsi"/>
        </w:rPr>
        <w:t xml:space="preserve">, </w:t>
      </w:r>
    </w:p>
    <w:p w:rsidR="00BA1958" w:rsidRPr="00951242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être</w:t>
      </w:r>
      <w:proofErr w:type="gramEnd"/>
      <w:r w:rsidRPr="00951242">
        <w:rPr>
          <w:rFonts w:ascii="Verdana" w:hAnsi="Verdana" w:cstheme="minorHAnsi"/>
        </w:rPr>
        <w:t xml:space="preserve"> capable de travailler en équipe et en articulation avec le coordonnateur du CTA, </w:t>
      </w:r>
    </w:p>
    <w:p w:rsidR="00BA1958" w:rsidRPr="00951242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être</w:t>
      </w:r>
      <w:proofErr w:type="gramEnd"/>
      <w:r w:rsidRPr="00951242">
        <w:rPr>
          <w:rFonts w:ascii="Verdana" w:hAnsi="Verdana" w:cstheme="minorHAnsi"/>
        </w:rPr>
        <w:t xml:space="preserve"> capable de prendre des initiatives et de travailler en autonomie, </w:t>
      </w:r>
    </w:p>
    <w:p w:rsidR="00BA1958" w:rsidRPr="00951242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être</w:t>
      </w:r>
      <w:proofErr w:type="gramEnd"/>
      <w:r w:rsidRPr="00951242">
        <w:rPr>
          <w:rFonts w:ascii="Verdana" w:hAnsi="Verdana" w:cstheme="minorHAnsi"/>
        </w:rPr>
        <w:t xml:space="preserve"> capable de communiquer avec tout public, </w:t>
      </w:r>
    </w:p>
    <w:p w:rsidR="00247C99" w:rsidRPr="00173274" w:rsidRDefault="00BA1958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proofErr w:type="gramStart"/>
      <w:r w:rsidRPr="00951242">
        <w:rPr>
          <w:rFonts w:ascii="Verdana" w:hAnsi="Verdana" w:cstheme="minorHAnsi"/>
        </w:rPr>
        <w:t>faire</w:t>
      </w:r>
      <w:proofErr w:type="gramEnd"/>
      <w:r w:rsidRPr="00951242">
        <w:rPr>
          <w:rFonts w:ascii="Verdana" w:hAnsi="Verdana" w:cstheme="minorHAnsi"/>
        </w:rPr>
        <w:t xml:space="preserve"> preuve d'un sens aigu des responsabilités</w:t>
      </w:r>
    </w:p>
    <w:p w:rsidR="00173274" w:rsidRPr="00951242" w:rsidRDefault="00173274" w:rsidP="00BA1958">
      <w:pPr>
        <w:pStyle w:val="Paragraphedeliste"/>
        <w:numPr>
          <w:ilvl w:val="0"/>
          <w:numId w:val="10"/>
        </w:numPr>
        <w:spacing w:line="360" w:lineRule="auto"/>
        <w:rPr>
          <w:rFonts w:ascii="Verdana" w:hAnsi="Verdana" w:cstheme="minorHAnsi"/>
          <w:lang w:val="fr-BE"/>
        </w:rPr>
      </w:pPr>
      <w:r>
        <w:rPr>
          <w:rFonts w:ascii="Verdana" w:hAnsi="Verdana" w:cstheme="minorHAnsi"/>
        </w:rPr>
        <w:t xml:space="preserve">être organisé, structuré et soucieux de la sécurité en laboratoire. </w:t>
      </w:r>
      <w:bookmarkStart w:id="0" w:name="_GoBack"/>
      <w:bookmarkEnd w:id="0"/>
    </w:p>
    <w:sectPr w:rsidR="00173274" w:rsidRPr="00951242">
      <w:headerReference w:type="default" r:id="rId9"/>
      <w:footerReference w:type="default" r:id="rId10"/>
      <w:pgSz w:w="11906" w:h="16838"/>
      <w:pgMar w:top="899" w:right="746" w:bottom="360" w:left="1417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E7" w:rsidRDefault="00E333E7" w:rsidP="00404EA5">
      <w:r>
        <w:separator/>
      </w:r>
    </w:p>
  </w:endnote>
  <w:endnote w:type="continuationSeparator" w:id="0">
    <w:p w:rsidR="00E333E7" w:rsidRDefault="00E333E7" w:rsidP="0040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E1" w:rsidRDefault="008461E1">
    <w:pPr>
      <w:pStyle w:val="Pieddepage"/>
      <w:tabs>
        <w:tab w:val="clear" w:pos="4536"/>
        <w:tab w:val="clear" w:pos="9072"/>
        <w:tab w:val="right" w:pos="9639"/>
      </w:tabs>
      <w:jc w:val="right"/>
      <w:rPr>
        <w:rFonts w:ascii="Calibri" w:hAnsi="Calibri"/>
        <w:spacing w:val="-10"/>
        <w:sz w:val="16"/>
        <w:szCs w:val="16"/>
        <w:lang w:val="fr-BE"/>
      </w:rPr>
    </w:pPr>
    <w:r>
      <w:rPr>
        <w:rFonts w:ascii="Calibri" w:hAnsi="Calibri"/>
        <w:spacing w:val="-10"/>
        <w:sz w:val="16"/>
        <w:szCs w:val="16"/>
        <w:lang w:val="fr-BE"/>
      </w:rPr>
      <w:fldChar w:fldCharType="begin"/>
    </w:r>
    <w:r>
      <w:rPr>
        <w:rFonts w:ascii="Calibri" w:hAnsi="Calibri"/>
        <w:spacing w:val="-10"/>
        <w:sz w:val="16"/>
        <w:szCs w:val="16"/>
        <w:lang w:val="fr-BE"/>
      </w:rPr>
      <w:instrText xml:space="preserve"> PAGE </w:instrText>
    </w:r>
    <w:r>
      <w:rPr>
        <w:rFonts w:ascii="Calibri" w:hAnsi="Calibri"/>
        <w:spacing w:val="-10"/>
        <w:sz w:val="16"/>
        <w:szCs w:val="16"/>
        <w:lang w:val="fr-BE"/>
      </w:rPr>
      <w:fldChar w:fldCharType="separate"/>
    </w:r>
    <w:r w:rsidR="00173274">
      <w:rPr>
        <w:rFonts w:ascii="Calibri" w:hAnsi="Calibri"/>
        <w:noProof/>
        <w:spacing w:val="-10"/>
        <w:sz w:val="16"/>
        <w:szCs w:val="16"/>
        <w:lang w:val="fr-BE"/>
      </w:rPr>
      <w:t>2</w:t>
    </w:r>
    <w:r>
      <w:rPr>
        <w:rFonts w:ascii="Calibri" w:hAnsi="Calibri"/>
        <w:spacing w:val="-10"/>
        <w:sz w:val="16"/>
        <w:szCs w:val="16"/>
        <w:lang w:val="fr-BE"/>
      </w:rPr>
      <w:fldChar w:fldCharType="end"/>
    </w:r>
    <w:r>
      <w:rPr>
        <w:rFonts w:ascii="Calibri" w:hAnsi="Calibri"/>
        <w:spacing w:val="-10"/>
        <w:sz w:val="16"/>
        <w:szCs w:val="16"/>
        <w:lang w:val="fr-BE"/>
      </w:rPr>
      <w:t>/</w:t>
    </w:r>
    <w:r>
      <w:rPr>
        <w:rFonts w:ascii="Calibri" w:hAnsi="Calibri"/>
        <w:spacing w:val="-10"/>
        <w:sz w:val="16"/>
        <w:szCs w:val="16"/>
        <w:lang w:val="fr-BE"/>
      </w:rPr>
      <w:fldChar w:fldCharType="begin"/>
    </w:r>
    <w:r>
      <w:rPr>
        <w:rFonts w:ascii="Calibri" w:hAnsi="Calibri"/>
        <w:spacing w:val="-10"/>
        <w:sz w:val="16"/>
        <w:szCs w:val="16"/>
        <w:lang w:val="fr-BE"/>
      </w:rPr>
      <w:instrText xml:space="preserve"> NUMPAGES </w:instrText>
    </w:r>
    <w:r>
      <w:rPr>
        <w:rFonts w:ascii="Calibri" w:hAnsi="Calibri"/>
        <w:spacing w:val="-10"/>
        <w:sz w:val="16"/>
        <w:szCs w:val="16"/>
        <w:lang w:val="fr-BE"/>
      </w:rPr>
      <w:fldChar w:fldCharType="separate"/>
    </w:r>
    <w:r w:rsidR="00173274">
      <w:rPr>
        <w:rFonts w:ascii="Calibri" w:hAnsi="Calibri"/>
        <w:noProof/>
        <w:spacing w:val="-10"/>
        <w:sz w:val="16"/>
        <w:szCs w:val="16"/>
        <w:lang w:val="fr-BE"/>
      </w:rPr>
      <w:t>4</w:t>
    </w:r>
    <w:r>
      <w:rPr>
        <w:rFonts w:ascii="Calibri" w:hAnsi="Calibri"/>
        <w:spacing w:val="-10"/>
        <w:sz w:val="16"/>
        <w:szCs w:val="16"/>
        <w:lang w:val="fr-BE"/>
      </w:rPr>
      <w:fldChar w:fldCharType="end"/>
    </w:r>
  </w:p>
  <w:p w:rsidR="008461E1" w:rsidRDefault="008461E1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E7" w:rsidRDefault="00E333E7" w:rsidP="00404EA5">
      <w:r>
        <w:separator/>
      </w:r>
    </w:p>
  </w:footnote>
  <w:footnote w:type="continuationSeparator" w:id="0">
    <w:p w:rsidR="00E333E7" w:rsidRDefault="00E333E7" w:rsidP="0040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5C7" w:rsidRDefault="00A575C7" w:rsidP="00A575C7">
    <w:pPr>
      <w:pStyle w:val="En-tte"/>
      <w:tabs>
        <w:tab w:val="clear" w:pos="4536"/>
        <w:tab w:val="clear" w:pos="9072"/>
        <w:tab w:val="left" w:pos="1120"/>
      </w:tabs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06BCD56C" wp14:editId="1554479C">
          <wp:simplePos x="0" y="0"/>
          <wp:positionH relativeFrom="margin">
            <wp:posOffset>4602005</wp:posOffset>
          </wp:positionH>
          <wp:positionV relativeFrom="paragraph">
            <wp:posOffset>-228600</wp:posOffset>
          </wp:positionV>
          <wp:extent cx="1584960" cy="1268858"/>
          <wp:effectExtent l="0" t="0" r="0" b="762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26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B0D"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6447D04D" wp14:editId="320F0EF0">
          <wp:simplePos x="0" y="0"/>
          <wp:positionH relativeFrom="column">
            <wp:posOffset>-687070</wp:posOffset>
          </wp:positionH>
          <wp:positionV relativeFrom="paragraph">
            <wp:posOffset>-213360</wp:posOffset>
          </wp:positionV>
          <wp:extent cx="2125980" cy="1252220"/>
          <wp:effectExtent l="0" t="0" r="7620" b="5080"/>
          <wp:wrapThrough wrapText="bothSides">
            <wp:wrapPolygon edited="0">
              <wp:start x="0" y="0"/>
              <wp:lineTo x="0" y="21359"/>
              <wp:lineTo x="21484" y="21359"/>
              <wp:lineTo x="2148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125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575C7" w:rsidRPr="00B46668" w:rsidRDefault="00A575C7" w:rsidP="00A575C7">
    <w:pPr>
      <w:pStyle w:val="En-tte"/>
      <w:tabs>
        <w:tab w:val="clear" w:pos="4536"/>
        <w:tab w:val="clear" w:pos="9072"/>
        <w:tab w:val="left" w:pos="1120"/>
      </w:tabs>
      <w:rPr>
        <w:color w:val="2A255B"/>
      </w:rPr>
    </w:pPr>
  </w:p>
  <w:p w:rsidR="00A575C7" w:rsidRDefault="00A575C7">
    <w:pPr>
      <w:pStyle w:val="En-tte"/>
    </w:pPr>
  </w:p>
  <w:p w:rsidR="00A575C7" w:rsidRDefault="00A575C7">
    <w:pPr>
      <w:pStyle w:val="En-tte"/>
    </w:pPr>
  </w:p>
  <w:p w:rsidR="00A575C7" w:rsidRDefault="00A575C7">
    <w:pPr>
      <w:pStyle w:val="En-tte"/>
    </w:pPr>
  </w:p>
  <w:p w:rsidR="00A575C7" w:rsidRDefault="00A575C7">
    <w:pPr>
      <w:pStyle w:val="En-tte"/>
    </w:pPr>
  </w:p>
  <w:p w:rsidR="00A575C7" w:rsidRDefault="00A575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0AF"/>
    <w:multiLevelType w:val="hybridMultilevel"/>
    <w:tmpl w:val="B770C8A8"/>
    <w:lvl w:ilvl="0" w:tplc="42D09CE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6B0B"/>
    <w:multiLevelType w:val="hybridMultilevel"/>
    <w:tmpl w:val="184467D6"/>
    <w:lvl w:ilvl="0" w:tplc="B1BE57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38C3"/>
    <w:multiLevelType w:val="hybridMultilevel"/>
    <w:tmpl w:val="1646DE0C"/>
    <w:lvl w:ilvl="0" w:tplc="9B687D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5CC7"/>
    <w:multiLevelType w:val="hybridMultilevel"/>
    <w:tmpl w:val="967A42B6"/>
    <w:lvl w:ilvl="0" w:tplc="D598A63C">
      <w:start w:val="4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99CCF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51B14"/>
    <w:multiLevelType w:val="hybridMultilevel"/>
    <w:tmpl w:val="11C87658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24B02"/>
    <w:multiLevelType w:val="hybridMultilevel"/>
    <w:tmpl w:val="9FC4D2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5A1C7C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DC1648"/>
    <w:multiLevelType w:val="hybridMultilevel"/>
    <w:tmpl w:val="0DFE36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43C4"/>
    <w:multiLevelType w:val="hybridMultilevel"/>
    <w:tmpl w:val="4462E45E"/>
    <w:lvl w:ilvl="0" w:tplc="78EC68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5AA305C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color w:val="99CCFF"/>
      </w:rPr>
    </w:lvl>
    <w:lvl w:ilvl="2" w:tplc="9EA48CAA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7683D"/>
    <w:multiLevelType w:val="multilevel"/>
    <w:tmpl w:val="C0285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9A5906"/>
    <w:multiLevelType w:val="hybridMultilevel"/>
    <w:tmpl w:val="0DD4E6DE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71"/>
    <w:rsid w:val="000D7D71"/>
    <w:rsid w:val="00173274"/>
    <w:rsid w:val="001D391E"/>
    <w:rsid w:val="00247C99"/>
    <w:rsid w:val="002E40E7"/>
    <w:rsid w:val="00320843"/>
    <w:rsid w:val="0032205D"/>
    <w:rsid w:val="003C3187"/>
    <w:rsid w:val="00404EA5"/>
    <w:rsid w:val="00494762"/>
    <w:rsid w:val="004B5FD9"/>
    <w:rsid w:val="005867E7"/>
    <w:rsid w:val="006A43E1"/>
    <w:rsid w:val="00716995"/>
    <w:rsid w:val="007D795A"/>
    <w:rsid w:val="008461E1"/>
    <w:rsid w:val="00951242"/>
    <w:rsid w:val="009D0877"/>
    <w:rsid w:val="009E0A08"/>
    <w:rsid w:val="009E725B"/>
    <w:rsid w:val="00A575C7"/>
    <w:rsid w:val="00B212AE"/>
    <w:rsid w:val="00B274A6"/>
    <w:rsid w:val="00B84CE2"/>
    <w:rsid w:val="00BA1958"/>
    <w:rsid w:val="00BF4DC6"/>
    <w:rsid w:val="00C053CC"/>
    <w:rsid w:val="00C96E91"/>
    <w:rsid w:val="00D554F4"/>
    <w:rsid w:val="00DE65FD"/>
    <w:rsid w:val="00DE7504"/>
    <w:rsid w:val="00E333E7"/>
    <w:rsid w:val="00E40EBE"/>
    <w:rsid w:val="00E879A0"/>
    <w:rsid w:val="00E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5C1E"/>
  <w15:chartTrackingRefBased/>
  <w15:docId w15:val="{772E032A-DB80-47B0-A556-A1187E5A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D7D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7D7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0D7D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D7D7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0D7D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0D7D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61E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9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995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-yves.vanvinckenroye@site.asty-moulin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a.site.asty-mouli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Frère Catherine</dc:creator>
  <cp:keywords/>
  <dc:description/>
  <cp:lastModifiedBy>Pierre-Yves Vanvinckenroye</cp:lastModifiedBy>
  <cp:revision>11</cp:revision>
  <cp:lastPrinted>2024-06-25T10:47:00Z</cp:lastPrinted>
  <dcterms:created xsi:type="dcterms:W3CDTF">2024-06-24T18:25:00Z</dcterms:created>
  <dcterms:modified xsi:type="dcterms:W3CDTF">2025-04-14T12:26:00Z</dcterms:modified>
</cp:coreProperties>
</file>